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Ethos Services SA — exercice 2025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15:29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2025 avec l'année 2024.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11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2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12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1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9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5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-66.7%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2.00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823535"/>
                <w:sz w:val="18"/>
              </w:rPr>
              <w:t>↓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+200.0%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+400.0%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0.20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823535"/>
                <w:sz w:val="18"/>
              </w:rPr>
              <w:t>↓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-80.0%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45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+12.5%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-11.1%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100 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-54.5%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12'000 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+6.7%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-57.4%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100 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-44.4%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100.0%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823535"/>
                <w:sz w:val="18"/>
              </w:rPr>
              <w:t>↓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+22.2%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-1 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-102.5%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-1.0%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-105.5%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8'500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+1.2%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8'500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+7.6%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-100.0%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9'000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+9.8%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8'500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+6.2%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5.9%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+135.3%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300'000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+25.0%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84'998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+30.8%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-4.4%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 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-100.0%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 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+50.0%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10 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+66.7%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83.3%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+11.1%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 xml:space="preserve">L’abonnement annuel aux transports publics ainsi qu’aux parkings à vélos est remboursé au personnel d’Ethos dans le but d’encourager la mobilité douce pour se rendre au travail 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823535"/>
                <w:sz w:val="18"/>
              </w:rPr>
              <w:t>↓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-80.0%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-100.0%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823535"/>
                <w:sz w:val="18"/>
              </w:rPr>
              <w:t>↓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-100.0%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-2.00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-140.0%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823535"/>
                <w:sz w:val="18"/>
              </w:rPr>
              <w:t>↓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-100.0%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-2.00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-116.7%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-93.5%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126.7%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+89.6%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0.000089 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-15.3%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256.37 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-78.3%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-100.0%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-100.0%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823535"/>
                <w:sz w:val="18"/>
              </w:rPr>
              <w:t>↓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-100.0%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-3.00 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823535"/>
                <w:sz w:val="18"/>
              </w:rPr>
              <w:t>↓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-102.0%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