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4E78"/>
          <w:sz w:val="40"/>
        </w:rPr>
        <w:t>Rapport ESG annuel</w:t>
      </w:r>
    </w:p>
    <w:p>
      <w:pPr>
        <w:jc w:val="center"/>
      </w:pPr>
      <w:r>
        <w:rPr>
          <w:b/>
          <w:i w:val="0"/>
          <w:color w:val="1F4E78"/>
          <w:sz w:val="28"/>
        </w:rPr>
        <w:t>Test SARL — exercice 2024</w:t>
      </w:r>
    </w:p>
    <w:p>
      <w:pPr>
        <w:jc w:val="center"/>
      </w:pPr>
      <w:r>
        <w:rPr>
          <w:b w:val="0"/>
          <w:i/>
          <w:color w:val="888890"/>
          <w:sz w:val="18"/>
        </w:rPr>
        <w:t>Généré le 03.06.2026 à 23:50</w:t>
      </w:r>
    </w:p>
    <w:p>
      <w:pPr>
        <w:jc w:val="center"/>
      </w:pPr>
      <w:r>
        <w:rPr>
          <w:b w:val="0"/>
          <w:i/>
          <w:color w:val="888890"/>
          <w:sz w:val="18"/>
        </w:rPr>
        <w:t>✏ Brouillon — non soumis sur Blockchain</w:t>
      </w:r>
    </w:p>
    <w:p/>
    <w:p/>
    <w:p/>
    <w:p>
      <w:r>
        <w:rPr>
          <w:b/>
          <w:color w:val="1F4E78"/>
          <w:sz w:val="26"/>
        </w:rPr>
        <w:t>G — Gouvernance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Structure de gouvernance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Structure de gouvernance — composition de l'organe de gouvernance et de la direction générale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Diversité de genre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Organe de gouvernance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Organe de gouvernance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organe de gouvernance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0.40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Management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Management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management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0.50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Direction générale —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Direction générale —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 F/H — direction générale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0.33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Politiques et chartes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Numérique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Fournisseurs / achats durables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Bonne conduite (interne)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/ charte — Droits humains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Engagement de l'organe de gouvernance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Déclaration formelle sur l'importance de la durabilité et stratégie en matière de développement durable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Gouvernance responsable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Implication de l'organe de gouvernance dans la gouvernance responsable (corruption, conflits d'intérêts, concurrence loyale)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Stratégie de durabilité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Implication de l'organe de gouvernance dans la stratégie de développement durable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Intégration ESG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Intégration des critères ESG dans la prise de décision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Critères ESG intégrés dans les décisions d'investissement et de partenariat.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Suivi ESG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L'organe de gouvernance examine la performance ESG au moins une fois par an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Achats durables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9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achats réalisés auprès de fournisseurs engagés dans une démarche de durabilité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FFF4C2"/>
          </w:tcPr>
          <w:p>
            <w:r/>
            <w:r>
              <w:rPr>
                <w:b/>
                <w:i/>
                <w:color w:val="1F4E78"/>
                <w:sz w:val="18"/>
              </w:rPr>
              <w:t>Numérique responsable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Stratégie du numérique responsable développée (description : localisation des données, empreinte, éthique…)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Adhésion INR ou certification / label Numérique Responsable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S — Social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Conditions de travail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et dispositifs en matière de bien-être et protection sociale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Congé maternité 14 semaines, paternité 4 semaines, prévoyance 2e pilier au-dessus du minimum LPP, télétravail 2 jours/semaine.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Satisfaction du personnel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 de la satisfaction du personnel : méthode, fréquence, résultats obtenus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Enquête annuelle anonyme : 85% taux de réponse, 4.2/5 satisfaction moyenne.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Ancienneté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Répartition selon l'ancienneté (depuis feuille « Personnel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&lt; 5 ans: 16 (37%); 5-10 ans: 10 (23%); 11-15 ans: 7 (16%); 16-20 ans: 4 (9%); 21-25 ans: 3 (7%); 26-30 ans: 2 (5%); 31-40 ans: 1 (2%)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Rotation du personnel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départs sur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 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personnes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Effectif moyen ETP sur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45 ETP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ETP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rotation du personnel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13.3%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14.3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Ventilation des départs (genre, âge, région) — depuis feuille « Personnel »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Femmes: 3; Hommes: 3; &lt; 30 ans: 2; 30-49 ans: 3; ≥ 50 ans: 1; Suisse: 5; Hors Suisse: 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Santé et sécurité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jours d'absence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220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jours théoriques travaillés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11'250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d'absentéisme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1.8%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 d'absence pour maladie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180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liée à la maladie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81.8%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 d'absence pour accidents du travail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40 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jours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15.4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liée aux accidents du travail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18.2%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Rémunération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 de gestion du personnel et de rémunération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Grille salariale unique avec négociation collective ; bonus liés à la performance individuelle (50%) et collective (50%) incluant 1 critère ESG.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hommes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8'400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femmes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7'900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Écart salarial F/H (positif = H &gt; F)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de l'entreprise (profils comparables)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8'200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Salaire médian / moyen de la branche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Écart par rapport à la branche (positif = entreprise &gt; branche)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2.5%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Rémunération totale la plus élevée (bonus inclus)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240'000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Rémunération totale la plus faible à temps plein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65'000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17.3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Multiplicateur de rémunération (max / min)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3.69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ratio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4.00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Formation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d'heures de formation par rapport au total des heures travaillées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2.2%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2.5%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d'heures de formation effectivement suivies (par genre et catégorie)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18.3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Budget consacré à la formation et au développement des compétences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95'000 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Dispositif d'alerte interne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Mécanisme confidentiel de traitement des alertes existe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d'alertes enregistrées durant la période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19.2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prises pour traiter les cas confirmés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Cas confirmé : sensibilisation de l'équipe concernée + révision de la procédure.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Fournisseurs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Méthode et critères de sélection / évaluation des fournisseurs (description, voir feuille « Fournisseurs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Évaluation annuelle sur 4 critères (Pays, Secteur, Matière, Importance stratégique). Audit obligatoire pour score ≥ 10.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Processus d'évaluation des fournisseurs pour identifier ceux qui présentent un risque éthique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20.3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achats réalisés auprès de fournisseurs locaux (régionaux ou nationaux)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0F5"/>
          </w:tcPr>
          <w:p>
            <w:r/>
            <w:r>
              <w:rPr>
                <w:b/>
                <w:i/>
                <w:color w:val="1F4E78"/>
                <w:sz w:val="18"/>
              </w:rPr>
              <w:t>Communautés locales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cas identifiés d'impacts négatifs sur les communautés locales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projets / activités significatifs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 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projets avec analyse d'impact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 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projets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des projets ayant fait l'objet d'une analyse d'impact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21.3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mises en œuvre pour réduire les nuisances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d'information aux riverains avant chaque chantier ; partenariat avec une école professionnelle.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/>
          <w:color w:val="1F4E78"/>
          <w:sz w:val="26"/>
        </w:rPr>
        <w:t>E — Environnement</w:t>
      </w:r>
    </w:p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1700"/>
        <w:gridCol w:w="1700"/>
        <w:gridCol w:w="1700"/>
        <w:gridCol w:w="1700"/>
        <w:gridCol w:w="1700"/>
        <w:gridCol w:w="1700"/>
      </w:tblGrid>
      <w:tr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ID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Indicateur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Valeur 2024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Objectif</w:t>
            </w:r>
          </w:p>
        </w:tc>
        <w:tc>
          <w:tcPr>
            <w:tcW w:type="dxa" w:w="1700"/>
            <w:shd w:val="clear" w:color="auto" w:fill="1F4E78"/>
            <w:vAlign w:val="center"/>
          </w:tcPr>
          <w:p>
            <w:r/>
            <w:r>
              <w:rPr>
                <w:b/>
                <w:color w:val="FFFFFF"/>
                <w:sz w:val="18"/>
              </w:rPr>
              <w:t>Justification</w:t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Mobilité durable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Solutions de mobilité durable proposées aux collaborateurs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de mobilité d'entreprise : abonnement CFF à demi-tarif financé, place vélo couverte, télétravail 2 jours/semaine, flotte 100% électrique pour les véhicules de société.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Consommation d'énergie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achetée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95.00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achetée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60.00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autoproduite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Électricité autoproduite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Énergie produite sur site –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35.00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Énergie produite sur site – non renouvelable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Carburants et combustibles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12.00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Consommation totale d'énergie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232.00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200.00 MWh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23.9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d'énergie renouvelable consommée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66.8%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Garanties d'origine pour 100% de l'électricité achetée.</w:t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Objectifs climatiques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de transition vers la neutralité carbone 2050 défini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Année cible et valeur visée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Neutralité carbone Scope 1+2 visée pour 2035.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Année de référence et valeur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Année de référence 2022 : Scope 1 = 280 tCO₂e, Scope 2 = 160 tCO₂e.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Unités utilisées pour les objectifs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des émissions couverte par l'objectif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85.0%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24.6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Principales actions prévues pour atteindre l'objectif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Décarbonation du chauffage (pompe à chaleur), achat d'électricité 100% renouvelable, optimisation des déplacements professionnels.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Bilan carbone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Bilan carbone réalisé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Fréquence de réalisation du bilan carbone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Annuelle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Méthodologie utilisée (ex. GHG Protocol, ISO 14064)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GHG Protocol — Scope 1 et 2 obligatoires, Scope 3 partiel (catégories 1, 6, 7).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1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180.00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220.00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2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140.00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130.00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de GES – Scope 3 (depuis feuille « GES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440.00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400.00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Émissions totales de GES (1+2+3)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760.00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750.00 tCO₂e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25.8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Intensité carbone (tCO₂e / CHF de chiffre d'affaires)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0.000106 tCO₂e/CHF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tCO₂e/CHF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Eau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Consommation totale d'eau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1'180.00 m³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m³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1'000.00 m³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Plan d'économie d'eau : réducteurs de débit, suivi mensuel.</w:t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localisation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 d'interaction avec la biodiversité identifiés (voir feuille « Biodiversité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total de 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 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Nombre de sites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 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Superficie totale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850.00 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Superficie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50.00 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ha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27.6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(%) de superficie en zone sensible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5.9%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Biodiversité - gestion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Politiques et mesures de gestion des impacts sur la biodiversité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Aucune source d'émission directe sur sites sensibles ; protocole de gestion des eaux pluviales sur tous les sites.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Déchets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Processus de gestion des déchets mis en place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dangereux générés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48.00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non dangereux générés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195.00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dangereux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30.00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Déchets non dangereux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150.00 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29.2.h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valorisation des déchets dangereux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62.5%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29.2.n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Taux de valorisation des déchets non dangereux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76.9%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29.2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Part globale (%) des déchets valorisés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74.1%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80.0%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0200"/>
            <w:gridSpan w:val="6"/>
            <w:shd w:val="clear" w:color="auto" w:fill="CFE8D4"/>
          </w:tcPr>
          <w:p>
            <w:r/>
            <w:r>
              <w:rPr>
                <w:b/>
                <w:i/>
                <w:color w:val="1F4E78"/>
                <w:sz w:val="18"/>
              </w:rPr>
              <w:t>Risques climatiques</w:t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30.1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Aléas climatiques ou risques de transition identifiés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30.2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Ces risques sont communiqués aux actionnaires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Oui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30.3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Assurances souscrites (description)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Assurance incendie + pertes d'exploitation, assurance catastrophes naturelles.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30.4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Description des aléas et risques de transition (voir feuille « Risques climatiques »)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Aléas physiques identifiés : canicules (été), tempêtes (printemps/automne), précipitations intenses. Risques de transition : durcissement réglementaire CH/UE, exigences des donneurs d'ordre.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30.5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Évaluation de l'exposition et de la sensibilité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Sites tous situés en zone urbaine bien équipée ; sensibilité moyenne aux aléas physiques.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30.6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Horizons temporels associés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Court terme (1-3 ans) pour aléas physiques ; moyen terme (3-10 ans) pour risques de transition.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30.7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Mesures d'adaptation mises en œuvre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Climatisation passive renforcée, plan de continuité d'activité testé annuellement.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00"/>
          </w:tcPr>
          <w:p>
            <w:r>
              <w:rPr>
                <w:sz w:val="18"/>
              </w:rPr>
              <w:t>30.8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Niveau de risque global (élevé / moyen / faible)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  <w:t>Moyen</w:t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  <w:tc>
          <w:tcPr>
            <w:tcW w:type="dxa" w:w="1700"/>
          </w:tcPr>
          <w:p>
            <w:r>
              <w:rPr>
                <w:sz w:val="18"/>
              </w:rPr>
            </w:r>
          </w:p>
        </w:tc>
      </w:tr>
    </w:tbl>
    <w:p/>
    <w:p>
      <w:r>
        <w:rPr>
          <w:b w:val="0"/>
          <w:i/>
          <w:color w:val="888890"/>
          <w:sz w:val="16"/>
        </w:rPr>
        <w:t>Ce rapport est généré automatiquement à partir des données saisies dans le formulaire. Le contenu est public dans le cadre de la démonstration et ne contient que des données fictives.</w:t>
      </w:r>
    </w:p>
    <w:sectPr w:rsidR="00FC693F" w:rsidRPr="0006063C" w:rsidSect="00034616">
      <w:pgSz w:w="12240" w:h="15840"/>
      <w:pgMar w:top="1134" w:right="1020" w:bottom="1134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