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Test SARL — exercice 2025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23:47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>
      <w:r>
        <w:rPr>
          <w:b/>
          <w:i w:val="0"/>
          <w:color w:val="1F4E78"/>
          <w:sz w:val="26"/>
        </w:rPr>
        <w:t>Synthèse — tendances vs exercice précédent</w:t>
      </w:r>
    </w:p>
    <w:p>
      <w:r>
        <w:rPr>
          <w:b w:val="0"/>
          <w:i/>
          <w:color w:val="888890"/>
          <w:sz w:val="18"/>
        </w:rPr>
        <w:t>Comparaison de l'année 2025 avec l'année 2024.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88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880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 w:val="0"/>
          <w:i/>
          <w:color w:val="888890"/>
          <w:sz w:val="16"/>
        </w:rPr>
        <w:t>Légende — vert vers l'extérieur : amélioration · rouge vers le centre : dégradation · trait gris sur la ligne : stable.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Domaine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↑ Amélioration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→ Stable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↓ Dégradation</w:t>
            </w:r>
          </w:p>
        </w:tc>
      </w:tr>
      <w:tr>
        <w:tc>
          <w:tcPr>
            <w:tcW w:type="dxa" w:w="2550"/>
            <w:shd w:val="clear" w:color="auto" w:fill="FFF4C2"/>
          </w:tcPr>
          <w:p>
            <w:r/>
            <w:r>
              <w:rPr>
                <w:b/>
              </w:rPr>
              <w:t>G — Gouvernance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0F5"/>
          </w:tcPr>
          <w:p>
            <w:r/>
            <w:r>
              <w:rPr>
                <w:b/>
              </w:rPr>
              <w:t>S — Social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8D4"/>
          </w:tcPr>
          <w:p>
            <w:r/>
            <w:r>
              <w:rPr>
                <w:b/>
              </w:rPr>
              <w:t>E — Environnement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</w:tbl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