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4E78"/>
          <w:sz w:val="40"/>
        </w:rPr>
        <w:t>Rapport ESG annuel</w:t>
      </w:r>
    </w:p>
    <w:p>
      <w:pPr>
        <w:jc w:val="center"/>
      </w:pPr>
      <w:r>
        <w:rPr>
          <w:b/>
          <w:i w:val="0"/>
          <w:color w:val="1F4E78"/>
          <w:sz w:val="28"/>
        </w:rPr>
        <w:t>Vélo S.A.R.L. — exercice 2025</w:t>
      </w:r>
    </w:p>
    <w:p>
      <w:pPr>
        <w:jc w:val="center"/>
      </w:pPr>
      <w:r>
        <w:rPr>
          <w:b w:val="0"/>
          <w:i/>
          <w:color w:val="888890"/>
          <w:sz w:val="18"/>
        </w:rPr>
        <w:t>Généré le 04.06.2026 à 00:02</w:t>
      </w:r>
    </w:p>
    <w:p>
      <w:pPr>
        <w:jc w:val="center"/>
      </w:pPr>
      <w:r>
        <w:rPr>
          <w:b w:val="0"/>
          <w:i/>
          <w:color w:val="888890"/>
          <w:sz w:val="18"/>
        </w:rPr>
        <w:t>✏ Brouillon — non soumis sur Blockchain</w:t>
      </w:r>
    </w:p>
    <w:p/>
    <w:p>
      <w:r>
        <w:rPr>
          <w:b/>
          <w:i w:val="0"/>
          <w:color w:val="1F4E78"/>
          <w:sz w:val="26"/>
        </w:rPr>
        <w:t>Synthèse — tendances vs exercice précédent</w:t>
      </w:r>
    </w:p>
    <w:p>
      <w:r>
        <w:rPr>
          <w:b w:val="0"/>
          <w:i/>
          <w:color w:val="888890"/>
          <w:sz w:val="18"/>
        </w:rPr>
        <w:t>Comparaison de l'année 2025 avec l'année 2024.</w:t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5760000" cy="18802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000" cy="188025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b w:val="0"/>
          <w:i/>
          <w:color w:val="888890"/>
          <w:sz w:val="16"/>
        </w:rPr>
        <w:t>Légende — vert vers l'extérieur : amélioration · rouge vers le centre : dégradation · trait gris sur la ligne : stable.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4" w:color="CCCCCC"/>
          <w:left w:val="single" w:sz="4" w:color="CCCCCC"/>
          <w:bottom w:val="single" w:sz="4" w:color="CCCCCC"/>
          <w:right w:val="single" w:sz="4" w:color="CCCCCC"/>
          <w:insideH w:val="single" w:sz="4" w:color="CCCCCC"/>
          <w:insideV w:val="single" w:sz="4" w:color="CCCCCC"/>
        </w:tblBorders>
      </w:tblPr>
      <w:tblGrid>
        <w:gridCol w:w="2550"/>
        <w:gridCol w:w="2550"/>
        <w:gridCol w:w="2550"/>
        <w:gridCol w:w="2550"/>
      </w:tblGrid>
      <w:tr>
        <w:tc>
          <w:tcPr>
            <w:tcW w:type="dxa" w:w="2550"/>
            <w:shd w:val="clear" w:color="auto" w:fill="1F4E78"/>
            <w:vAlign w:val="center"/>
          </w:tcPr>
          <w:p>
            <w:r/>
            <w:r>
              <w:rPr>
                <w:b/>
                <w:color w:val="FFFFFF"/>
                <w:sz w:val="20"/>
              </w:rPr>
              <w:t>Domaine</w:t>
            </w:r>
          </w:p>
        </w:tc>
        <w:tc>
          <w:tcPr>
            <w:tcW w:type="dxa" w:w="2550"/>
            <w:shd w:val="clear" w:color="auto" w:fill="1F4E78"/>
            <w:vAlign w:val="center"/>
          </w:tcPr>
          <w:p>
            <w:r/>
            <w:r>
              <w:rPr>
                <w:b/>
                <w:color w:val="FFFFFF"/>
                <w:sz w:val="20"/>
              </w:rPr>
              <w:t>↑ Amélioration</w:t>
            </w:r>
          </w:p>
        </w:tc>
        <w:tc>
          <w:tcPr>
            <w:tcW w:type="dxa" w:w="2550"/>
            <w:shd w:val="clear" w:color="auto" w:fill="1F4E78"/>
            <w:vAlign w:val="center"/>
          </w:tcPr>
          <w:p>
            <w:r/>
            <w:r>
              <w:rPr>
                <w:b/>
                <w:color w:val="FFFFFF"/>
                <w:sz w:val="20"/>
              </w:rPr>
              <w:t>→ Stable</w:t>
            </w:r>
          </w:p>
        </w:tc>
        <w:tc>
          <w:tcPr>
            <w:tcW w:type="dxa" w:w="2550"/>
            <w:shd w:val="clear" w:color="auto" w:fill="1F4E78"/>
            <w:vAlign w:val="center"/>
          </w:tcPr>
          <w:p>
            <w:r/>
            <w:r>
              <w:rPr>
                <w:b/>
                <w:color w:val="FFFFFF"/>
                <w:sz w:val="20"/>
              </w:rPr>
              <w:t>↓ Dégradation</w:t>
            </w:r>
          </w:p>
        </w:tc>
      </w:tr>
      <w:tr>
        <w:tc>
          <w:tcPr>
            <w:tcW w:type="dxa" w:w="2550"/>
            <w:shd w:val="clear" w:color="auto" w:fill="FFF4C2"/>
          </w:tcPr>
          <w:p>
            <w:r/>
            <w:r>
              <w:rPr>
                <w:b/>
              </w:rPr>
              <w:t>G — Gouvernance</w:t>
            </w:r>
          </w:p>
        </w:tc>
        <w:tc>
          <w:tcPr>
            <w:tcW w:type="dxa" w:w="2550"/>
          </w:tcPr>
          <w:p>
            <w:pPr>
              <w:jc w:val="center"/>
            </w:pPr>
            <w:r>
              <w:rPr>
                <w:b/>
                <w:color w:val="2E6A37"/>
              </w:rPr>
              <w:t>0</w:t>
            </w:r>
          </w:p>
        </w:tc>
        <w:tc>
          <w:tcPr>
            <w:tcW w:type="dxa" w:w="2550"/>
          </w:tcPr>
          <w:p>
            <w:pPr>
              <w:jc w:val="center"/>
            </w:pPr>
            <w:r>
              <w:t>10</w:t>
            </w:r>
          </w:p>
        </w:tc>
        <w:tc>
          <w:tcPr>
            <w:tcW w:type="dxa" w:w="2550"/>
          </w:tcPr>
          <w:p>
            <w:pPr>
              <w:jc w:val="center"/>
            </w:pPr>
            <w:r>
              <w:rPr>
                <w:b/>
                <w:color w:val="823535"/>
              </w:rPr>
              <w:t>0</w:t>
            </w:r>
          </w:p>
        </w:tc>
      </w:tr>
      <w:tr>
        <w:tc>
          <w:tcPr>
            <w:tcW w:type="dxa" w:w="2550"/>
            <w:shd w:val="clear" w:color="auto" w:fill="CFE0F5"/>
          </w:tcPr>
          <w:p>
            <w:r/>
            <w:r>
              <w:rPr>
                <w:b/>
              </w:rPr>
              <w:t>S — Social</w:t>
            </w:r>
          </w:p>
        </w:tc>
        <w:tc>
          <w:tcPr>
            <w:tcW w:type="dxa" w:w="2550"/>
          </w:tcPr>
          <w:p>
            <w:pPr>
              <w:jc w:val="center"/>
            </w:pPr>
            <w:r>
              <w:rPr>
                <w:b/>
                <w:color w:val="2E6A37"/>
              </w:rPr>
              <w:t>0</w:t>
            </w:r>
          </w:p>
        </w:tc>
        <w:tc>
          <w:tcPr>
            <w:tcW w:type="dxa" w:w="255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550"/>
          </w:tcPr>
          <w:p>
            <w:pPr>
              <w:jc w:val="center"/>
            </w:pPr>
            <w:r>
              <w:rPr>
                <w:b/>
                <w:color w:val="823535"/>
              </w:rPr>
              <w:t>0</w:t>
            </w:r>
          </w:p>
        </w:tc>
      </w:tr>
      <w:tr>
        <w:tc>
          <w:tcPr>
            <w:tcW w:type="dxa" w:w="2550"/>
            <w:shd w:val="clear" w:color="auto" w:fill="CFE8D4"/>
          </w:tcPr>
          <w:p>
            <w:r/>
            <w:r>
              <w:rPr>
                <w:b/>
              </w:rPr>
              <w:t>E — Environnement</w:t>
            </w:r>
          </w:p>
        </w:tc>
        <w:tc>
          <w:tcPr>
            <w:tcW w:type="dxa" w:w="2550"/>
          </w:tcPr>
          <w:p>
            <w:pPr>
              <w:jc w:val="center"/>
            </w:pPr>
            <w:r>
              <w:rPr>
                <w:b/>
                <w:color w:val="2E6A37"/>
              </w:rPr>
              <w:t>0</w:t>
            </w:r>
          </w:p>
        </w:tc>
        <w:tc>
          <w:tcPr>
            <w:tcW w:type="dxa" w:w="2550"/>
          </w:tcPr>
          <w:p>
            <w:pPr>
              <w:jc w:val="center"/>
            </w:pPr>
            <w:r>
              <w:t>6</w:t>
            </w:r>
          </w:p>
        </w:tc>
        <w:tc>
          <w:tcPr>
            <w:tcW w:type="dxa" w:w="2550"/>
          </w:tcPr>
          <w:p>
            <w:pPr>
              <w:jc w:val="center"/>
            </w:pPr>
            <w:r>
              <w:rPr>
                <w:b/>
                <w:color w:val="823535"/>
              </w:rPr>
              <w:t>0</w:t>
            </w:r>
          </w:p>
        </w:tc>
      </w:tr>
    </w:tbl>
    <w:p/>
    <w:p/>
    <w:p>
      <w:r>
        <w:rPr>
          <w:b/>
          <w:color w:val="1F4E78"/>
          <w:sz w:val="26"/>
        </w:rPr>
        <w:t>G — Gouvernance</w:t>
      </w:r>
    </w:p>
    <w:tbl>
      <w:tblPr>
        <w:tblW w:type="auto" w:w="0"/>
        <w:tblLayout w:type="autofit"/>
        <w:tblLook w:firstColumn="1" w:firstRow="1" w:lastColumn="0" w:lastRow="0" w:noHBand="0" w:noVBand="1" w:val="04A0"/>
        <w:tblBorders>
          <w:top w:val="single" w:sz="4" w:color="CCCCCC"/>
          <w:left w:val="single" w:sz="4" w:color="CCCCCC"/>
          <w:bottom w:val="single" w:sz="4" w:color="CCCCCC"/>
          <w:right w:val="single" w:sz="4" w:color="CCCCCC"/>
          <w:insideH w:val="single" w:sz="4" w:color="CCCCCC"/>
          <w:insideV w:val="single" w:sz="4" w:color="CCCCCC"/>
        </w:tblBorders>
      </w:tblPr>
      <w:tblGrid>
        <w:gridCol w:w="1133"/>
        <w:gridCol w:w="1133"/>
        <w:gridCol w:w="1133"/>
        <w:gridCol w:w="1133"/>
        <w:gridCol w:w="1133"/>
        <w:gridCol w:w="1133"/>
        <w:gridCol w:w="1133"/>
        <w:gridCol w:w="1133"/>
        <w:gridCol w:w="1133"/>
      </w:tblGrid>
      <w:tr>
        <w:tc>
          <w:tcPr>
            <w:tcW w:type="dxa" w:w="1133"/>
            <w:shd w:val="clear" w:color="auto" w:fill="1F4E78"/>
            <w:vAlign w:val="center"/>
          </w:tcPr>
          <w:p>
            <w:r/>
            <w:r>
              <w:rPr>
                <w:b/>
                <w:color w:val="FFFFFF"/>
                <w:sz w:val="18"/>
              </w:rPr>
              <w:t>ID</w:t>
            </w:r>
          </w:p>
        </w:tc>
        <w:tc>
          <w:tcPr>
            <w:tcW w:type="dxa" w:w="1133"/>
            <w:shd w:val="clear" w:color="auto" w:fill="1F4E78"/>
            <w:vAlign w:val="center"/>
          </w:tcPr>
          <w:p>
            <w:r/>
            <w:r>
              <w:rPr>
                <w:b/>
                <w:color w:val="FFFFFF"/>
                <w:sz w:val="18"/>
              </w:rPr>
              <w:t>Indicateur</w:t>
            </w:r>
          </w:p>
        </w:tc>
        <w:tc>
          <w:tcPr>
            <w:tcW w:type="dxa" w:w="1133"/>
            <w:shd w:val="clear" w:color="auto" w:fill="1F4E78"/>
            <w:vAlign w:val="center"/>
          </w:tcPr>
          <w:p>
            <w:r/>
            <w:r>
              <w:rPr>
                <w:b/>
                <w:color w:val="FFFFFF"/>
                <w:sz w:val="18"/>
              </w:rPr>
              <w:t>Valeur 2025</w:t>
            </w:r>
          </w:p>
        </w:tc>
        <w:tc>
          <w:tcPr>
            <w:tcW w:type="dxa" w:w="1133"/>
            <w:shd w:val="clear" w:color="auto" w:fill="1F4E78"/>
            <w:vAlign w:val="center"/>
          </w:tcPr>
          <w:p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133"/>
            <w:shd w:val="clear" w:color="auto" w:fill="1F4E78"/>
            <w:vAlign w:val="center"/>
          </w:tcPr>
          <w:p>
            <w:r/>
            <w:r>
              <w:rPr>
                <w:b/>
                <w:color w:val="FFFFFF"/>
                <w:sz w:val="18"/>
              </w:rPr>
              <w:t>Valeur 2024</w:t>
            </w:r>
          </w:p>
        </w:tc>
        <w:tc>
          <w:tcPr>
            <w:tcW w:type="dxa" w:w="1133"/>
            <w:shd w:val="clear" w:color="auto" w:fill="1F4E78"/>
            <w:vAlign w:val="center"/>
          </w:tcPr>
          <w:p>
            <w:r/>
            <w:r>
              <w:rPr>
                <w:b/>
                <w:color w:val="FFFFFF"/>
                <w:sz w:val="18"/>
              </w:rPr>
              <w:t>Tend.</w:t>
            </w:r>
          </w:p>
        </w:tc>
        <w:tc>
          <w:tcPr>
            <w:tcW w:type="dxa" w:w="1133"/>
            <w:shd w:val="clear" w:color="auto" w:fill="1F4E78"/>
            <w:vAlign w:val="center"/>
          </w:tcPr>
          <w:p>
            <w:r/>
            <w:r>
              <w:rPr>
                <w:b/>
                <w:color w:val="FFFFFF"/>
                <w:sz w:val="18"/>
              </w:rPr>
              <w:t>Δ %</w:t>
            </w:r>
          </w:p>
        </w:tc>
        <w:tc>
          <w:tcPr>
            <w:tcW w:type="dxa" w:w="1133"/>
            <w:shd w:val="clear" w:color="auto" w:fill="1F4E78"/>
            <w:vAlign w:val="center"/>
          </w:tcPr>
          <w:p>
            <w:r/>
            <w:r>
              <w:rPr>
                <w:b/>
                <w:color w:val="FFFFFF"/>
                <w:sz w:val="18"/>
              </w:rPr>
              <w:t>Objectif</w:t>
            </w:r>
          </w:p>
        </w:tc>
        <w:tc>
          <w:tcPr>
            <w:tcW w:type="dxa" w:w="1133"/>
            <w:shd w:val="clear" w:color="auto" w:fill="1F4E78"/>
            <w:vAlign w:val="center"/>
          </w:tcPr>
          <w:p>
            <w:r/>
            <w:r>
              <w:rPr>
                <w:b/>
                <w:color w:val="FFFFFF"/>
                <w:sz w:val="18"/>
              </w:rPr>
              <w:t>Justification</w:t>
            </w:r>
          </w:p>
        </w:tc>
      </w:tr>
      <w:tr>
        <w:tc>
          <w:tcPr>
            <w:tcW w:type="dxa" w:w="10197"/>
            <w:gridSpan w:val="9"/>
            <w:shd w:val="clear" w:color="auto" w:fill="FFF4C2"/>
          </w:tcPr>
          <w:p>
            <w:r/>
            <w:r>
              <w:rPr>
                <w:b/>
                <w:i/>
                <w:color w:val="1F4E78"/>
                <w:sz w:val="18"/>
              </w:rPr>
              <w:t>Structure de gouvernance</w:t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Structure de gouvernance — composition de l'organe de gouvernance et de la direction générale (description)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0197"/>
            <w:gridSpan w:val="9"/>
            <w:shd w:val="clear" w:color="auto" w:fill="FFF4C2"/>
          </w:tcPr>
          <w:p>
            <w:r/>
            <w:r>
              <w:rPr>
                <w:b/>
                <w:i/>
                <w:color w:val="1F4E78"/>
                <w:sz w:val="18"/>
              </w:rPr>
              <w:t>Diversité de genre</w:t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2.1.1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Organe de gouvernance — femmes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personnes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2 personnes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2.1.2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Organe de gouvernance — hommes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personnes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5 personnes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2.1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Ratio F/H — organe de gouvernance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ratio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0.40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2.2.1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Management — femmes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personnes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3 personnes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2.2.2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Management — hommes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personnes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6 personnes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2.2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Ratio F/H — management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ratio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0.50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2.3.1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Direction générale — femmes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personnes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1 personnes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2.3.2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Direction générale — hommes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personnes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3 personnes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2.3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Ratio F/H — direction générale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ratio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0.33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0197"/>
            <w:gridSpan w:val="9"/>
            <w:shd w:val="clear" w:color="auto" w:fill="FFF4C2"/>
          </w:tcPr>
          <w:p>
            <w:r/>
            <w:r>
              <w:rPr>
                <w:b/>
                <w:i/>
                <w:color w:val="1F4E78"/>
                <w:sz w:val="18"/>
              </w:rPr>
              <w:t>Politiques et chartes</w:t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3.1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Politique / charte — Numérique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Oui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Oui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  <w:r>
              <w:rPr>
                <w:b/>
                <w:color w:val="555560"/>
                <w:sz w:val="18"/>
              </w:rPr>
              <w:t>→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3.2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Politique / charte — Fournisseurs / achats durables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Oui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Oui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  <w:r>
              <w:rPr>
                <w:b/>
                <w:color w:val="555560"/>
                <w:sz w:val="18"/>
              </w:rPr>
              <w:t>→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3.3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Politique / charte — Bonne conduite (interne)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Non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Non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  <w:r>
              <w:rPr>
                <w:b/>
                <w:color w:val="555560"/>
                <w:sz w:val="18"/>
              </w:rPr>
              <w:t>→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3.4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Politique / charte — Droits humains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Oui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Oui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  <w:r>
              <w:rPr>
                <w:b/>
                <w:color w:val="555560"/>
                <w:sz w:val="18"/>
              </w:rPr>
              <w:t>→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0197"/>
            <w:gridSpan w:val="9"/>
            <w:shd w:val="clear" w:color="auto" w:fill="FFF4C2"/>
          </w:tcPr>
          <w:p>
            <w:r/>
            <w:r>
              <w:rPr>
                <w:b/>
                <w:i/>
                <w:color w:val="1F4E78"/>
                <w:sz w:val="18"/>
              </w:rPr>
              <w:t>Engagement de l'organe de gouvernance</w:t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4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Déclaration formelle sur l'importance de la durabilité et stratégie en matière de développement durable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Oui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Oui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  <w:r>
              <w:rPr>
                <w:b/>
                <w:color w:val="555560"/>
                <w:sz w:val="18"/>
              </w:rPr>
              <w:t>→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0197"/>
            <w:gridSpan w:val="9"/>
            <w:shd w:val="clear" w:color="auto" w:fill="FFF4C2"/>
          </w:tcPr>
          <w:p>
            <w:r/>
            <w:r>
              <w:rPr>
                <w:b/>
                <w:i/>
                <w:color w:val="1F4E78"/>
                <w:sz w:val="18"/>
              </w:rPr>
              <w:t>Gouvernance responsable</w:t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5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Implication de l'organe de gouvernance dans la gouvernance responsable (corruption, conflits d'intérêts, concurrence loyale)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Non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Non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  <w:r>
              <w:rPr>
                <w:b/>
                <w:color w:val="555560"/>
                <w:sz w:val="18"/>
              </w:rPr>
              <w:t>→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0197"/>
            <w:gridSpan w:val="9"/>
            <w:shd w:val="clear" w:color="auto" w:fill="FFF4C2"/>
          </w:tcPr>
          <w:p>
            <w:r/>
            <w:r>
              <w:rPr>
                <w:b/>
                <w:i/>
                <w:color w:val="1F4E78"/>
                <w:sz w:val="18"/>
              </w:rPr>
              <w:t>Stratégie de durabilité</w:t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6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Implication de l'organe de gouvernance dans la stratégie de développement durable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Oui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Oui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  <w:r>
              <w:rPr>
                <w:b/>
                <w:color w:val="555560"/>
                <w:sz w:val="18"/>
              </w:rPr>
              <w:t>→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0197"/>
            <w:gridSpan w:val="9"/>
            <w:shd w:val="clear" w:color="auto" w:fill="FFF4C2"/>
          </w:tcPr>
          <w:p>
            <w:r/>
            <w:r>
              <w:rPr>
                <w:b/>
                <w:i/>
                <w:color w:val="1F4E78"/>
                <w:sz w:val="18"/>
              </w:rPr>
              <w:t>Intégration ESG</w:t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7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Intégration des critères ESG dans la prise de décision (description)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Critères ESG intégrés dans les décisions d'investissement et de partenariat.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Critères ESG intégrés dans les décisions d'investissement et de partenariat.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0197"/>
            <w:gridSpan w:val="9"/>
            <w:shd w:val="clear" w:color="auto" w:fill="FFF4C2"/>
          </w:tcPr>
          <w:p>
            <w:r/>
            <w:r>
              <w:rPr>
                <w:b/>
                <w:i/>
                <w:color w:val="1F4E78"/>
                <w:sz w:val="18"/>
              </w:rPr>
              <w:t>Suivi ESG</w:t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8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L'organe de gouvernance examine la performance ESG au moins une fois par an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Oui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Oui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  <w:r>
              <w:rPr>
                <w:b/>
                <w:color w:val="555560"/>
                <w:sz w:val="18"/>
              </w:rPr>
              <w:t>→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0197"/>
            <w:gridSpan w:val="9"/>
            <w:shd w:val="clear" w:color="auto" w:fill="FFF4C2"/>
          </w:tcPr>
          <w:p>
            <w:r/>
            <w:r>
              <w:rPr>
                <w:b/>
                <w:i/>
                <w:color w:val="1F4E78"/>
                <w:sz w:val="18"/>
              </w:rPr>
              <w:t>Achats durables</w:t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9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Part (%) des achats réalisés auprès de fournisseurs engagés dans une démarche de durabilité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%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0197"/>
            <w:gridSpan w:val="9"/>
            <w:shd w:val="clear" w:color="auto" w:fill="FFF4C2"/>
          </w:tcPr>
          <w:p>
            <w:r/>
            <w:r>
              <w:rPr>
                <w:b/>
                <w:i/>
                <w:color w:val="1F4E78"/>
                <w:sz w:val="18"/>
              </w:rPr>
              <w:t>Numérique responsable</w:t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10.1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Stratégie du numérique responsable développée (description : localisation des données, empreinte, éthique…)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Oui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Oui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  <w:r>
              <w:rPr>
                <w:b/>
                <w:color w:val="555560"/>
                <w:sz w:val="18"/>
              </w:rPr>
              <w:t>→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10.2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Adhésion INR ou certification / label Numérique Responsable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Non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Non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  <w:r>
              <w:rPr>
                <w:b/>
                <w:color w:val="555560"/>
                <w:sz w:val="18"/>
              </w:rPr>
              <w:t>→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</w:tbl>
    <w:p/>
    <w:p>
      <w:r>
        <w:rPr>
          <w:b/>
          <w:color w:val="1F4E78"/>
          <w:sz w:val="26"/>
        </w:rPr>
        <w:t>S — Social</w:t>
      </w:r>
    </w:p>
    <w:tbl>
      <w:tblPr>
        <w:tblW w:type="auto" w:w="0"/>
        <w:tblLayout w:type="autofit"/>
        <w:tblLook w:firstColumn="1" w:firstRow="1" w:lastColumn="0" w:lastRow="0" w:noHBand="0" w:noVBand="1" w:val="04A0"/>
        <w:tblBorders>
          <w:top w:val="single" w:sz="4" w:color="CCCCCC"/>
          <w:left w:val="single" w:sz="4" w:color="CCCCCC"/>
          <w:bottom w:val="single" w:sz="4" w:color="CCCCCC"/>
          <w:right w:val="single" w:sz="4" w:color="CCCCCC"/>
          <w:insideH w:val="single" w:sz="4" w:color="CCCCCC"/>
          <w:insideV w:val="single" w:sz="4" w:color="CCCCCC"/>
        </w:tblBorders>
      </w:tblPr>
      <w:tblGrid>
        <w:gridCol w:w="1133"/>
        <w:gridCol w:w="1133"/>
        <w:gridCol w:w="1133"/>
        <w:gridCol w:w="1133"/>
        <w:gridCol w:w="1133"/>
        <w:gridCol w:w="1133"/>
        <w:gridCol w:w="1133"/>
        <w:gridCol w:w="1133"/>
        <w:gridCol w:w="1133"/>
      </w:tblGrid>
      <w:tr>
        <w:tc>
          <w:tcPr>
            <w:tcW w:type="dxa" w:w="1133"/>
            <w:shd w:val="clear" w:color="auto" w:fill="1F4E78"/>
            <w:vAlign w:val="center"/>
          </w:tcPr>
          <w:p>
            <w:r/>
            <w:r>
              <w:rPr>
                <w:b/>
                <w:color w:val="FFFFFF"/>
                <w:sz w:val="18"/>
              </w:rPr>
              <w:t>ID</w:t>
            </w:r>
          </w:p>
        </w:tc>
        <w:tc>
          <w:tcPr>
            <w:tcW w:type="dxa" w:w="1133"/>
            <w:shd w:val="clear" w:color="auto" w:fill="1F4E78"/>
            <w:vAlign w:val="center"/>
          </w:tcPr>
          <w:p>
            <w:r/>
            <w:r>
              <w:rPr>
                <w:b/>
                <w:color w:val="FFFFFF"/>
                <w:sz w:val="18"/>
              </w:rPr>
              <w:t>Indicateur</w:t>
            </w:r>
          </w:p>
        </w:tc>
        <w:tc>
          <w:tcPr>
            <w:tcW w:type="dxa" w:w="1133"/>
            <w:shd w:val="clear" w:color="auto" w:fill="1F4E78"/>
            <w:vAlign w:val="center"/>
          </w:tcPr>
          <w:p>
            <w:r/>
            <w:r>
              <w:rPr>
                <w:b/>
                <w:color w:val="FFFFFF"/>
                <w:sz w:val="18"/>
              </w:rPr>
              <w:t>Valeur 2025</w:t>
            </w:r>
          </w:p>
        </w:tc>
        <w:tc>
          <w:tcPr>
            <w:tcW w:type="dxa" w:w="1133"/>
            <w:shd w:val="clear" w:color="auto" w:fill="1F4E78"/>
            <w:vAlign w:val="center"/>
          </w:tcPr>
          <w:p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133"/>
            <w:shd w:val="clear" w:color="auto" w:fill="1F4E78"/>
            <w:vAlign w:val="center"/>
          </w:tcPr>
          <w:p>
            <w:r/>
            <w:r>
              <w:rPr>
                <w:b/>
                <w:color w:val="FFFFFF"/>
                <w:sz w:val="18"/>
              </w:rPr>
              <w:t>Valeur 2024</w:t>
            </w:r>
          </w:p>
        </w:tc>
        <w:tc>
          <w:tcPr>
            <w:tcW w:type="dxa" w:w="1133"/>
            <w:shd w:val="clear" w:color="auto" w:fill="1F4E78"/>
            <w:vAlign w:val="center"/>
          </w:tcPr>
          <w:p>
            <w:r/>
            <w:r>
              <w:rPr>
                <w:b/>
                <w:color w:val="FFFFFF"/>
                <w:sz w:val="18"/>
              </w:rPr>
              <w:t>Tend.</w:t>
            </w:r>
          </w:p>
        </w:tc>
        <w:tc>
          <w:tcPr>
            <w:tcW w:type="dxa" w:w="1133"/>
            <w:shd w:val="clear" w:color="auto" w:fill="1F4E78"/>
            <w:vAlign w:val="center"/>
          </w:tcPr>
          <w:p>
            <w:r/>
            <w:r>
              <w:rPr>
                <w:b/>
                <w:color w:val="FFFFFF"/>
                <w:sz w:val="18"/>
              </w:rPr>
              <w:t>Δ %</w:t>
            </w:r>
          </w:p>
        </w:tc>
        <w:tc>
          <w:tcPr>
            <w:tcW w:type="dxa" w:w="1133"/>
            <w:shd w:val="clear" w:color="auto" w:fill="1F4E78"/>
            <w:vAlign w:val="center"/>
          </w:tcPr>
          <w:p>
            <w:r/>
            <w:r>
              <w:rPr>
                <w:b/>
                <w:color w:val="FFFFFF"/>
                <w:sz w:val="18"/>
              </w:rPr>
              <w:t>Objectif</w:t>
            </w:r>
          </w:p>
        </w:tc>
        <w:tc>
          <w:tcPr>
            <w:tcW w:type="dxa" w:w="1133"/>
            <w:shd w:val="clear" w:color="auto" w:fill="1F4E78"/>
            <w:vAlign w:val="center"/>
          </w:tcPr>
          <w:p>
            <w:r/>
            <w:r>
              <w:rPr>
                <w:b/>
                <w:color w:val="FFFFFF"/>
                <w:sz w:val="18"/>
              </w:rPr>
              <w:t>Justification</w:t>
            </w:r>
          </w:p>
        </w:tc>
      </w:tr>
      <w:tr>
        <w:tc>
          <w:tcPr>
            <w:tcW w:type="dxa" w:w="10197"/>
            <w:gridSpan w:val="9"/>
            <w:shd w:val="clear" w:color="auto" w:fill="CFE0F5"/>
          </w:tcPr>
          <w:p>
            <w:r/>
            <w:r>
              <w:rPr>
                <w:b/>
                <w:i/>
                <w:color w:val="1F4E78"/>
                <w:sz w:val="18"/>
              </w:rPr>
              <w:t>Conditions de travail</w:t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11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Mesures et dispositifs en matière de bien-être et protection sociale (description)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Congé maternité 14 semaines, paternité 4 semaines, prévoyance 2e pilier au-dessus du minimum LPP, télétravail 2 jours/semaine.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Congé maternité 14 semaines, paternité 4 semaines, prévoyance 2e pilier au-dessus du minimum LPP, télétravail 2 jours/semaine.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0197"/>
            <w:gridSpan w:val="9"/>
            <w:shd w:val="clear" w:color="auto" w:fill="CFE0F5"/>
          </w:tcPr>
          <w:p>
            <w:r/>
            <w:r>
              <w:rPr>
                <w:b/>
                <w:i/>
                <w:color w:val="1F4E78"/>
                <w:sz w:val="18"/>
              </w:rPr>
              <w:t>Satisfaction du personnel</w:t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12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Mesure de la satisfaction du personnel : méthode, fréquence, résultats obtenus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Enquête annuelle anonyme : 85% taux de réponse, 4.2/5 satisfaction moyenne.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0197"/>
            <w:gridSpan w:val="9"/>
            <w:shd w:val="clear" w:color="auto" w:fill="CFE0F5"/>
          </w:tcPr>
          <w:p>
            <w:r/>
            <w:r>
              <w:rPr>
                <w:b/>
                <w:i/>
                <w:color w:val="1F4E78"/>
                <w:sz w:val="18"/>
              </w:rPr>
              <w:t>Ancienneté</w:t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13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Répartition selon l'ancienneté (depuis feuille « Personnel »)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&lt; 5 ans: 16 (37%); 5-10 ans: 10 (23%); 11-15 ans: 7 (16%); 16-20 ans: 4 (9%); 21-25 ans: 3 (7%); 26-30 ans: 2 (5%); 31-40 ans: 1 (2%)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0197"/>
            <w:gridSpan w:val="9"/>
            <w:shd w:val="clear" w:color="auto" w:fill="CFE0F5"/>
          </w:tcPr>
          <w:p>
            <w:r/>
            <w:r>
              <w:rPr>
                <w:b/>
                <w:i/>
                <w:color w:val="1F4E78"/>
                <w:sz w:val="18"/>
              </w:rPr>
              <w:t>Rotation du personnel</w:t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14.1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Nombre de départs sur la période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personnes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6 personnes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14.2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Effectif moyen ETP sur la période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ETP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45 ETP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14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Taux de rotation du personnel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%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13.3%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14.3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Ventilation des départs (genre, âge, région) — depuis feuille « Personnel »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Femmes: 3; Hommes: 3; &lt; 30 ans: 2; 30-49 ans: 3; ≥ 50 ans: 1; Suisse: 5; Hors Suisse: 1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0197"/>
            <w:gridSpan w:val="9"/>
            <w:shd w:val="clear" w:color="auto" w:fill="CFE0F5"/>
          </w:tcPr>
          <w:p>
            <w:r/>
            <w:r>
              <w:rPr>
                <w:b/>
                <w:i/>
                <w:color w:val="1F4E78"/>
                <w:sz w:val="18"/>
              </w:rPr>
              <w:t>Santé et sécurité</w:t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15.1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Nombre total de jours d'absence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jours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220 jours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15.2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Nombre total de jours théoriques travaillés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jours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11'250 jours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15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Taux d'absentéisme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%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2.0%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15.3.1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Jours d'absence pour maladie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jours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180 jours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15.3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Part liée à la maladie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%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81.8%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15.4.1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Jours d'absence pour accidents du travail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jours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40 jours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15.4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Part liée aux accidents du travail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%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18.2%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0197"/>
            <w:gridSpan w:val="9"/>
            <w:shd w:val="clear" w:color="auto" w:fill="CFE0F5"/>
          </w:tcPr>
          <w:p>
            <w:r/>
            <w:r>
              <w:rPr>
                <w:b/>
                <w:i/>
                <w:color w:val="1F4E78"/>
                <w:sz w:val="18"/>
              </w:rPr>
              <w:t>Rémunération</w:t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16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Politique de gestion du personnel et de rémunération (description)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Grille salariale unique avec négociation collective ; bonus liés à la performance individuelle (50%) et collective (50%) incluant 1 critère ESG.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Grille salariale unique avec négociation collective ; bonus liés à la performance individuelle (50%) et collective (50%) incluant 1 critère ESG.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17.1.1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Salaire médian hommes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CHF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8'400 CHF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17.1.2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Salaire médian femmes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CHF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7'900 CHF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17.1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Écart salarial F/H (positif = H &gt; F)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%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6.0%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17.2.1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Salaire médian de l'entreprise (profils comparables)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CHF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8'200 CHF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17.2.2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Salaire médian / moyen de la branche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CHF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8'000 CHF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17.2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Écart par rapport à la branche (positif = entreprise &gt; branche)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%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2.5%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17.3.1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Rémunération totale la plus élevée (bonus inclus)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CHF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240'000 CHF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17.3.2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Rémunération totale la plus faible à temps plein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CHF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65'000 CHF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17.3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Multiplicateur de rémunération (max / min)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ratio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3.69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0197"/>
            <w:gridSpan w:val="9"/>
            <w:shd w:val="clear" w:color="auto" w:fill="CFE0F5"/>
          </w:tcPr>
          <w:p>
            <w:r/>
            <w:r>
              <w:rPr>
                <w:b/>
                <w:i/>
                <w:color w:val="1F4E78"/>
                <w:sz w:val="18"/>
              </w:rPr>
              <w:t>Formation</w:t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18.1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Part (%) d'heures de formation par rapport au total des heures travaillées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%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2.2%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18.2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Part (%) d'heures de formation effectivement suivies (par genre et catégorie)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%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85.0%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18.3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Budget consacré à la formation et au développement des compétences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CHF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95'000 CHF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0197"/>
            <w:gridSpan w:val="9"/>
            <w:shd w:val="clear" w:color="auto" w:fill="CFE0F5"/>
          </w:tcPr>
          <w:p>
            <w:r/>
            <w:r>
              <w:rPr>
                <w:b/>
                <w:i/>
                <w:color w:val="1F4E78"/>
                <w:sz w:val="18"/>
              </w:rPr>
              <w:t>Dispositif d'alerte interne</w:t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19.1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Mécanisme confidentiel de traitement des alertes existe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Oui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Oui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  <w:r>
              <w:rPr>
                <w:b/>
                <w:color w:val="555560"/>
                <w:sz w:val="18"/>
              </w:rPr>
              <w:t>→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19.2.1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Nombre d'alertes enregistrées durant la période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cas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1 cas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19.2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Mesures prises pour traiter les cas confirmés (description)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Cas confirmé : sensibilisation de l'équipe concernée + révision de la procédure.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Cas confirmé : sensibilisation de l'équipe concernée + révision de la procédure.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0197"/>
            <w:gridSpan w:val="9"/>
            <w:shd w:val="clear" w:color="auto" w:fill="CFE0F5"/>
          </w:tcPr>
          <w:p>
            <w:r/>
            <w:r>
              <w:rPr>
                <w:b/>
                <w:i/>
                <w:color w:val="1F4E78"/>
                <w:sz w:val="18"/>
              </w:rPr>
              <w:t>Fournisseurs</w:t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20.1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Méthode et critères de sélection / évaluation des fournisseurs (description, voir feuille « Fournisseurs »)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Évaluation annuelle sur 4 critères (Pays, Secteur, Matière, Importance stratégique). Audit obligatoire pour score ≥ 10.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Évaluation annuelle sur 4 critères (Pays, Secteur, Matière, Importance stratégique). Audit obligatoire pour score ≥ 10.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20.2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Processus d'évaluation des fournisseurs pour identifier ceux qui présentent un risque éthique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20.3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Part (%) des achats réalisés auprès de fournisseurs locaux (régionaux ou nationaux)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%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0197"/>
            <w:gridSpan w:val="9"/>
            <w:shd w:val="clear" w:color="auto" w:fill="CFE0F5"/>
          </w:tcPr>
          <w:p>
            <w:r/>
            <w:r>
              <w:rPr>
                <w:b/>
                <w:i/>
                <w:color w:val="1F4E78"/>
                <w:sz w:val="18"/>
              </w:rPr>
              <w:t>Communautés locales</w:t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21.1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Nombre de cas identifiés d'impacts négatifs sur les communautés locales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cas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1 cas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21.2.1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Nombre total de projets / activités significatifs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projets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8 projets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21.2.2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Nombre de projets avec analyse d'impact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projets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6 projets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21.2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Part (%) des projets ayant fait l'objet d'une analyse d'impact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%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75.0%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21.3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Mesures mises en œuvre pour réduire les nuisances (description)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Plan d'information aux riverains avant chaque chantier ; partenariat avec une école professionnelle.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Plan d'information aux riverains avant chaque chantier ; partenariat avec une école professionnelle.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</w:tbl>
    <w:p/>
    <w:p>
      <w:r>
        <w:rPr>
          <w:b/>
          <w:color w:val="1F4E78"/>
          <w:sz w:val="26"/>
        </w:rPr>
        <w:t>E — Environnement</w:t>
      </w:r>
    </w:p>
    <w:tbl>
      <w:tblPr>
        <w:tblW w:type="auto" w:w="0"/>
        <w:tblLayout w:type="autofit"/>
        <w:tblLook w:firstColumn="1" w:firstRow="1" w:lastColumn="0" w:lastRow="0" w:noHBand="0" w:noVBand="1" w:val="04A0"/>
        <w:tblBorders>
          <w:top w:val="single" w:sz="4" w:color="CCCCCC"/>
          <w:left w:val="single" w:sz="4" w:color="CCCCCC"/>
          <w:bottom w:val="single" w:sz="4" w:color="CCCCCC"/>
          <w:right w:val="single" w:sz="4" w:color="CCCCCC"/>
          <w:insideH w:val="single" w:sz="4" w:color="CCCCCC"/>
          <w:insideV w:val="single" w:sz="4" w:color="CCCCCC"/>
        </w:tblBorders>
      </w:tblPr>
      <w:tblGrid>
        <w:gridCol w:w="1133"/>
        <w:gridCol w:w="1133"/>
        <w:gridCol w:w="1133"/>
        <w:gridCol w:w="1133"/>
        <w:gridCol w:w="1133"/>
        <w:gridCol w:w="1133"/>
        <w:gridCol w:w="1133"/>
        <w:gridCol w:w="1133"/>
        <w:gridCol w:w="1133"/>
      </w:tblGrid>
      <w:tr>
        <w:tc>
          <w:tcPr>
            <w:tcW w:type="dxa" w:w="1133"/>
            <w:shd w:val="clear" w:color="auto" w:fill="1F4E78"/>
            <w:vAlign w:val="center"/>
          </w:tcPr>
          <w:p>
            <w:r/>
            <w:r>
              <w:rPr>
                <w:b/>
                <w:color w:val="FFFFFF"/>
                <w:sz w:val="18"/>
              </w:rPr>
              <w:t>ID</w:t>
            </w:r>
          </w:p>
        </w:tc>
        <w:tc>
          <w:tcPr>
            <w:tcW w:type="dxa" w:w="1133"/>
            <w:shd w:val="clear" w:color="auto" w:fill="1F4E78"/>
            <w:vAlign w:val="center"/>
          </w:tcPr>
          <w:p>
            <w:r/>
            <w:r>
              <w:rPr>
                <w:b/>
                <w:color w:val="FFFFFF"/>
                <w:sz w:val="18"/>
              </w:rPr>
              <w:t>Indicateur</w:t>
            </w:r>
          </w:p>
        </w:tc>
        <w:tc>
          <w:tcPr>
            <w:tcW w:type="dxa" w:w="1133"/>
            <w:shd w:val="clear" w:color="auto" w:fill="1F4E78"/>
            <w:vAlign w:val="center"/>
          </w:tcPr>
          <w:p>
            <w:r/>
            <w:r>
              <w:rPr>
                <w:b/>
                <w:color w:val="FFFFFF"/>
                <w:sz w:val="18"/>
              </w:rPr>
              <w:t>Valeur 2025</w:t>
            </w:r>
          </w:p>
        </w:tc>
        <w:tc>
          <w:tcPr>
            <w:tcW w:type="dxa" w:w="1133"/>
            <w:shd w:val="clear" w:color="auto" w:fill="1F4E78"/>
            <w:vAlign w:val="center"/>
          </w:tcPr>
          <w:p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133"/>
            <w:shd w:val="clear" w:color="auto" w:fill="1F4E78"/>
            <w:vAlign w:val="center"/>
          </w:tcPr>
          <w:p>
            <w:r/>
            <w:r>
              <w:rPr>
                <w:b/>
                <w:color w:val="FFFFFF"/>
                <w:sz w:val="18"/>
              </w:rPr>
              <w:t>Valeur 2024</w:t>
            </w:r>
          </w:p>
        </w:tc>
        <w:tc>
          <w:tcPr>
            <w:tcW w:type="dxa" w:w="1133"/>
            <w:shd w:val="clear" w:color="auto" w:fill="1F4E78"/>
            <w:vAlign w:val="center"/>
          </w:tcPr>
          <w:p>
            <w:r/>
            <w:r>
              <w:rPr>
                <w:b/>
                <w:color w:val="FFFFFF"/>
                <w:sz w:val="18"/>
              </w:rPr>
              <w:t>Tend.</w:t>
            </w:r>
          </w:p>
        </w:tc>
        <w:tc>
          <w:tcPr>
            <w:tcW w:type="dxa" w:w="1133"/>
            <w:shd w:val="clear" w:color="auto" w:fill="1F4E78"/>
            <w:vAlign w:val="center"/>
          </w:tcPr>
          <w:p>
            <w:r/>
            <w:r>
              <w:rPr>
                <w:b/>
                <w:color w:val="FFFFFF"/>
                <w:sz w:val="18"/>
              </w:rPr>
              <w:t>Δ %</w:t>
            </w:r>
          </w:p>
        </w:tc>
        <w:tc>
          <w:tcPr>
            <w:tcW w:type="dxa" w:w="1133"/>
            <w:shd w:val="clear" w:color="auto" w:fill="1F4E78"/>
            <w:vAlign w:val="center"/>
          </w:tcPr>
          <w:p>
            <w:r/>
            <w:r>
              <w:rPr>
                <w:b/>
                <w:color w:val="FFFFFF"/>
                <w:sz w:val="18"/>
              </w:rPr>
              <w:t>Objectif</w:t>
            </w:r>
          </w:p>
        </w:tc>
        <w:tc>
          <w:tcPr>
            <w:tcW w:type="dxa" w:w="1133"/>
            <w:shd w:val="clear" w:color="auto" w:fill="1F4E78"/>
            <w:vAlign w:val="center"/>
          </w:tcPr>
          <w:p>
            <w:r/>
            <w:r>
              <w:rPr>
                <w:b/>
                <w:color w:val="FFFFFF"/>
                <w:sz w:val="18"/>
              </w:rPr>
              <w:t>Justification</w:t>
            </w:r>
          </w:p>
        </w:tc>
      </w:tr>
      <w:tr>
        <w:tc>
          <w:tcPr>
            <w:tcW w:type="dxa" w:w="10197"/>
            <w:gridSpan w:val="9"/>
            <w:shd w:val="clear" w:color="auto" w:fill="CFE8D4"/>
          </w:tcPr>
          <w:p>
            <w:r/>
            <w:r>
              <w:rPr>
                <w:b/>
                <w:i/>
                <w:color w:val="1F4E78"/>
                <w:sz w:val="18"/>
              </w:rPr>
              <w:t>Mobilité durable</w:t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22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Solutions de mobilité durable proposées aux collaborateurs (description)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Plan de mobilité d'entreprise : abonnement CFF à demi-tarif financé, place vélo couverte, télétravail 2 jours/semaine, flotte 100% électrique pour les véhicules de société.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Plan de mobilité d'entreprise : abonnement CFF à demi-tarif financé, place vélo couverte, télétravail 2 jours/semaine, flotte 100% électrique pour les véhicules de société.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0197"/>
            <w:gridSpan w:val="9"/>
            <w:shd w:val="clear" w:color="auto" w:fill="CFE8D4"/>
          </w:tcPr>
          <w:p>
            <w:r/>
            <w:r>
              <w:rPr>
                <w:b/>
                <w:i/>
                <w:color w:val="1F4E78"/>
                <w:sz w:val="18"/>
              </w:rPr>
              <w:t>Consommation d'énergie</w:t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23.1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Électricité achetée – renouvelable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MWh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95.00 MWh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23.2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Électricité achetée – non renouvelable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MWh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60.00 MWh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23.3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Électricité autoproduite – renouvelable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MWh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25.00 MWh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23.4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Électricité autoproduite – non renouvelable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MWh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5.00 MWh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23.5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Énergie produite sur site – renouvelable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MWh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35.00 MWh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23.6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Énergie produite sur site – non renouvelable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MWh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0.00 MWh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23.7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Carburants et combustibles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MWh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12.00 MWh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23.8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Consommation totale d'énergie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MWh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232.00 MWh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23.9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Part d'énergie renouvelable consommée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%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66.8%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0197"/>
            <w:gridSpan w:val="9"/>
            <w:shd w:val="clear" w:color="auto" w:fill="CFE8D4"/>
          </w:tcPr>
          <w:p>
            <w:r/>
            <w:r>
              <w:rPr>
                <w:b/>
                <w:i/>
                <w:color w:val="1F4E78"/>
                <w:sz w:val="18"/>
              </w:rPr>
              <w:t>Objectifs climatiques</w:t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24.1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Plan de transition vers la neutralité carbone 2050 défini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Oui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Oui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  <w:r>
              <w:rPr>
                <w:b/>
                <w:color w:val="555560"/>
                <w:sz w:val="18"/>
              </w:rPr>
              <w:t>→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24.2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Année cible et valeur visée (description)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Neutralité carbone Scope 1+2 visée pour 2035.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Neutralité carbone Scope 1+2 visée pour 2035.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24.3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Année de référence et valeur (description)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Année de référence 2022 : Scope 1 = 280 tCO₂e, Scope 2 = 160 tCO₂e.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Année de référence 2022 : Scope 1 = 280 tCO₂e, Scope 2 = 160 tCO₂e.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24.4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Unités utilisées pour les objectifs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tCO₂e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tCO₂e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24.5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Part des émissions couverte par l'objectif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%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85.0%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24.6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Principales actions prévues pour atteindre l'objectif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Décarbonation du chauffage (pompe à chaleur), achat d'électricité 100% renouvelable, optimisation des déplacements professionnels.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Décarbonation du chauffage (pompe à chaleur), achat d'électricité 100% renouvelable, optimisation des déplacements professionnels.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0197"/>
            <w:gridSpan w:val="9"/>
            <w:shd w:val="clear" w:color="auto" w:fill="CFE8D4"/>
          </w:tcPr>
          <w:p>
            <w:r/>
            <w:r>
              <w:rPr>
                <w:b/>
                <w:i/>
                <w:color w:val="1F4E78"/>
                <w:sz w:val="18"/>
              </w:rPr>
              <w:t>Bilan carbone</w:t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25.1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Bilan carbone réalisé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Oui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Oui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  <w:r>
              <w:rPr>
                <w:b/>
                <w:color w:val="555560"/>
                <w:sz w:val="18"/>
              </w:rPr>
              <w:t>→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25.2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Fréquence de réalisation du bilan carbone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Annuelle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Annuelle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25.3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Méthodologie utilisée (ex. GHG Protocol, ISO 14064)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GHG Protocol — Scope 1 et 2 obligatoires, Scope 3 partiel (catégories 1, 6, 7).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GHG Protocol — Scope 1 et 2 obligatoires, Scope 3 partiel (catégories 1, 6, 7).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25.4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Émissions de GES – Scope 1 (depuis feuille « GES »)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tCO₂e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180.00 tCO₂e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25.5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Émissions de GES – Scope 2 (depuis feuille « GES »)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tCO₂e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140.00 tCO₂e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25.6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Émissions de GES – Scope 3 (depuis feuille « GES »)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tCO₂e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440.00 tCO₂e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25.7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Émissions totales de GES (1+2+3)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tCO₂e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760.00 tCO₂e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25.8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Intensité carbone (tCO₂e / CHF de chiffre d'affaires)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tCO₂e/CHF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0.000106 tCO₂e/CHF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0197"/>
            <w:gridSpan w:val="9"/>
            <w:shd w:val="clear" w:color="auto" w:fill="CFE8D4"/>
          </w:tcPr>
          <w:p>
            <w:r/>
            <w:r>
              <w:rPr>
                <w:b/>
                <w:i/>
                <w:color w:val="1F4E78"/>
                <w:sz w:val="18"/>
              </w:rPr>
              <w:t>Eau</w:t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26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Consommation totale d'eau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m³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1'180.00 m³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0197"/>
            <w:gridSpan w:val="9"/>
            <w:shd w:val="clear" w:color="auto" w:fill="CFE8D4"/>
          </w:tcPr>
          <w:p>
            <w:r/>
            <w:r>
              <w:rPr>
                <w:b/>
                <w:i/>
                <w:color w:val="1F4E78"/>
                <w:sz w:val="18"/>
              </w:rPr>
              <w:t>Biodiversité - localisation</w:t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27.1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Sites d'interaction avec la biodiversité identifiés (voir feuille « Biodiversité »)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Oui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Oui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  <w:r>
              <w:rPr>
                <w:b/>
                <w:color w:val="555560"/>
                <w:sz w:val="18"/>
              </w:rPr>
              <w:t>→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27.2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Nombre total de sites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sites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3 sites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27.3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Nombre de sites en zone sensible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sites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1 sites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27.4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Superficie totale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ha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850.00 ha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27.5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Superficie en zone sensible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ha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50.00 ha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27.6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Part (%) de superficie en zone sensible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%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5.9%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0197"/>
            <w:gridSpan w:val="9"/>
            <w:shd w:val="clear" w:color="auto" w:fill="CFE8D4"/>
          </w:tcPr>
          <w:p>
            <w:r/>
            <w:r>
              <w:rPr>
                <w:b/>
                <w:i/>
                <w:color w:val="1F4E78"/>
                <w:sz w:val="18"/>
              </w:rPr>
              <w:t>Biodiversité - gestion</w:t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28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Politiques et mesures de gestion des impacts sur la biodiversité (description)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Aucune source d'émission directe sur sites sensibles ; protocole de gestion des eaux pluviales sur tous les sites.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Aucune source d'émission directe sur sites sensibles ; protocole de gestion des eaux pluviales sur tous les sites.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0197"/>
            <w:gridSpan w:val="9"/>
            <w:shd w:val="clear" w:color="auto" w:fill="CFE8D4"/>
          </w:tcPr>
          <w:p>
            <w:r/>
            <w:r>
              <w:rPr>
                <w:b/>
                <w:i/>
                <w:color w:val="1F4E78"/>
                <w:sz w:val="18"/>
              </w:rPr>
              <w:t>Déchets</w:t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29.1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Processus de gestion des déchets mis en place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Oui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Oui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  <w:r>
              <w:rPr>
                <w:b/>
                <w:color w:val="555560"/>
                <w:sz w:val="18"/>
              </w:rPr>
              <w:t>→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29.2.1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Déchets dangereux générés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t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48.00 t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29.2.2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Déchets non dangereux générés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t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195.00 t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29.2.3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Déchets dangereux valorisés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t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30.00 t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29.2.4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Déchets non dangereux valorisés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t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150.00 t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29.2.h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Taux de valorisation des déchets dangereux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%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62.5%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29.2.n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Taux de valorisation des déchets non dangereux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%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76.9%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29.2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Part globale (%) des déchets valorisés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%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74.1%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0197"/>
            <w:gridSpan w:val="9"/>
            <w:shd w:val="clear" w:color="auto" w:fill="CFE8D4"/>
          </w:tcPr>
          <w:p>
            <w:r/>
            <w:r>
              <w:rPr>
                <w:b/>
                <w:i/>
                <w:color w:val="1F4E78"/>
                <w:sz w:val="18"/>
              </w:rPr>
              <w:t>Risques climatiques</w:t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30.1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Aléas climatiques ou risques de transition identifiés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Oui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Oui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  <w:r>
              <w:rPr>
                <w:b/>
                <w:color w:val="555560"/>
                <w:sz w:val="18"/>
              </w:rPr>
              <w:t>→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30.2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Ces risques sont communiqués aux actionnaires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Oui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Oui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  <w:r>
              <w:rPr>
                <w:b/>
                <w:color w:val="555560"/>
                <w:sz w:val="18"/>
              </w:rPr>
              <w:t>→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30.3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Assurances souscrites (description)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Assurance incendie + pertes d'exploitation, assurance catastrophes naturelles.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Assurance incendie + pertes d'exploitation, assurance catastrophes naturelles.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30.4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Description des aléas et risques de transition (voir feuille « Risques climatiques »)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Aléas physiques identifiés : canicules (été), tempêtes (printemps/automne), précipitations intenses. Risques de transition : durcissement réglementaire CH/UE, exigences des donneurs d'ordre.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Aléas physiques identifiés : canicules (été), tempêtes (printemps/automne), précipitations intenses. Risques de transition : durcissement réglementaire CH/UE, exigences des donneurs d'ordre.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30.5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Évaluation de l'exposition et de la sensibilité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Sites tous situés en zone urbaine bien équipée ; sensibilité moyenne aux aléas physiques.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Sites tous situés en zone urbaine bien équipée ; sensibilité moyenne aux aléas physiques.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30.6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Horizons temporels associés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Court terme (1-3 ans) pour aléas physiques ; moyen terme (3-10 ans) pour risques de transition.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Court terme (1-3 ans) pour aléas physiques ; moyen terme (3-10 ans) pour risques de transition.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30.7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Mesures d'adaptation mises en œuvre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Climatisation passive renforcée, plan de continuité d'activité testé annuellement.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Climatisation passive renforcée, plan de continuité d'activité testé annuellement.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30.8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Niveau de risque global (élevé / moyen / faible)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Moyen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Moyen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</w:tbl>
    <w:p/>
    <w:p>
      <w:r>
        <w:rPr>
          <w:b w:val="0"/>
          <w:i/>
          <w:color w:val="888890"/>
          <w:sz w:val="16"/>
        </w:rPr>
        <w:t>Ce rapport est généré automatiquement à partir des données saisies dans le formulaire. Le contenu est public dans le cadre de la démonstration et ne contient que des données fictives.</w:t>
      </w:r>
    </w:p>
    <w:sectPr w:rsidR="00FC693F" w:rsidRPr="0006063C" w:rsidSect="00034616">
      <w:pgSz w:w="12240" w:h="15840"/>
      <w:pgMar w:top="1134" w:right="1020" w:bottom="1134" w:left="10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